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EBB" w14:textId="71EFD520" w:rsidR="00681EA4" w:rsidRDefault="00E7732D" w:rsidP="00681EA4">
      <w:pPr>
        <w:pStyle w:val="Heading4"/>
        <w:spacing w:before="0"/>
        <w:jc w:val="center"/>
        <w:rPr>
          <w:color w:val="002677"/>
          <w:sz w:val="28"/>
          <w:szCs w:val="28"/>
        </w:rPr>
      </w:pPr>
      <w:r>
        <w:rPr>
          <w:color w:val="002677"/>
          <w:sz w:val="28"/>
          <w:szCs w:val="28"/>
        </w:rPr>
        <w:t xml:space="preserve">ARF </w:t>
      </w:r>
      <w:r w:rsidR="00D524E6">
        <w:rPr>
          <w:color w:val="002677"/>
          <w:sz w:val="28"/>
          <w:szCs w:val="28"/>
        </w:rPr>
        <w:t>Referral Form</w:t>
      </w:r>
      <w:r w:rsidR="00AC34A3">
        <w:rPr>
          <w:color w:val="002677"/>
          <w:sz w:val="28"/>
          <w:szCs w:val="28"/>
        </w:rPr>
        <w:t xml:space="preserve"> Tip Sheet</w:t>
      </w:r>
    </w:p>
    <w:p w14:paraId="380CE7CB" w14:textId="77777777" w:rsidR="00732916" w:rsidRPr="00DF01CD" w:rsidRDefault="00732916" w:rsidP="00681EA4">
      <w:pPr>
        <w:pStyle w:val="Heading4"/>
        <w:spacing w:before="0"/>
        <w:jc w:val="center"/>
        <w:rPr>
          <w:color w:val="002677"/>
          <w:sz w:val="28"/>
          <w:szCs w:val="28"/>
        </w:rPr>
      </w:pPr>
    </w:p>
    <w:p w14:paraId="51040137" w14:textId="5F8926BB" w:rsidR="00194FF1" w:rsidRDefault="00194FF1" w:rsidP="00194FF1">
      <w:pPr>
        <w:suppressAutoHyphens w:val="0"/>
        <w:autoSpaceDE w:val="0"/>
        <w:autoSpaceDN w:val="0"/>
        <w:adjustRightInd w:val="0"/>
        <w:rPr>
          <w:rFonts w:ascii="Arial" w:hAnsi="Arial" w:cs="Arial"/>
          <w:color w:val="4B4D4F"/>
        </w:rPr>
      </w:pPr>
      <w:r w:rsidRPr="00194FF1">
        <w:rPr>
          <w:rFonts w:ascii="Arial" w:hAnsi="Arial" w:cs="Arial"/>
          <w:color w:val="4B4D4F"/>
        </w:rPr>
        <w:t xml:space="preserve">The LTC Referral Screening Form is intended to be a summary of the clinical information presented in the referral packet. It is the first impression the facility has of the referred client. </w:t>
      </w:r>
    </w:p>
    <w:p w14:paraId="416C1733" w14:textId="77777777" w:rsidR="00FB3900" w:rsidRPr="00194FF1" w:rsidRDefault="00FB3900" w:rsidP="00194FF1">
      <w:pPr>
        <w:suppressAutoHyphens w:val="0"/>
        <w:autoSpaceDE w:val="0"/>
        <w:autoSpaceDN w:val="0"/>
        <w:adjustRightInd w:val="0"/>
        <w:rPr>
          <w:rFonts w:ascii="Arial" w:hAnsi="Arial" w:cs="Arial"/>
          <w:color w:val="4B4D4F"/>
        </w:rPr>
      </w:pPr>
    </w:p>
    <w:p w14:paraId="21AF8442" w14:textId="35D1D98B" w:rsidR="00194FF1" w:rsidRDefault="00194FF1" w:rsidP="00A7166B">
      <w:pPr>
        <w:pStyle w:val="ListParagraph"/>
        <w:numPr>
          <w:ilvl w:val="0"/>
          <w:numId w:val="27"/>
        </w:numPr>
        <w:suppressAutoHyphens w:val="0"/>
        <w:autoSpaceDE w:val="0"/>
        <w:autoSpaceDN w:val="0"/>
        <w:adjustRightInd w:val="0"/>
        <w:ind w:left="360"/>
        <w:rPr>
          <w:rFonts w:ascii="Arial" w:hAnsi="Arial" w:cs="Arial"/>
          <w:color w:val="4B4D4F"/>
        </w:rPr>
      </w:pPr>
      <w:r w:rsidRPr="00A7166B">
        <w:rPr>
          <w:rFonts w:ascii="Arial" w:hAnsi="Arial" w:cs="Arial"/>
          <w:color w:val="4B4D4F"/>
        </w:rPr>
        <w:t>Ensure the form is correct and legible.</w:t>
      </w:r>
    </w:p>
    <w:p w14:paraId="4E938475" w14:textId="77777777" w:rsidR="00A7166B" w:rsidRPr="00A7166B" w:rsidRDefault="00A7166B" w:rsidP="00A7166B">
      <w:pPr>
        <w:pStyle w:val="ListParagraph"/>
        <w:suppressAutoHyphens w:val="0"/>
        <w:autoSpaceDE w:val="0"/>
        <w:autoSpaceDN w:val="0"/>
        <w:adjustRightInd w:val="0"/>
        <w:ind w:left="360"/>
        <w:rPr>
          <w:rFonts w:ascii="Arial" w:hAnsi="Arial" w:cs="Arial"/>
          <w:color w:val="4B4D4F"/>
        </w:rPr>
      </w:pPr>
    </w:p>
    <w:p w14:paraId="6571AA52" w14:textId="1704AF53" w:rsidR="00194FF1" w:rsidRDefault="00194FF1" w:rsidP="00A7166B">
      <w:pPr>
        <w:pStyle w:val="ListParagraph"/>
        <w:numPr>
          <w:ilvl w:val="0"/>
          <w:numId w:val="27"/>
        </w:numPr>
        <w:suppressAutoHyphens w:val="0"/>
        <w:autoSpaceDE w:val="0"/>
        <w:autoSpaceDN w:val="0"/>
        <w:adjustRightInd w:val="0"/>
        <w:ind w:left="360"/>
        <w:rPr>
          <w:rFonts w:ascii="Arial" w:hAnsi="Arial" w:cs="Arial"/>
          <w:color w:val="4B4D4F"/>
        </w:rPr>
      </w:pPr>
      <w:r w:rsidRPr="00A7166B">
        <w:rPr>
          <w:rFonts w:ascii="Arial" w:hAnsi="Arial" w:cs="Arial"/>
          <w:color w:val="4B4D4F"/>
        </w:rPr>
        <w:t xml:space="preserve">The contact name should be the person at the facility that the ARF can contact for more information, to arrange admission, or to ask questions.  </w:t>
      </w:r>
    </w:p>
    <w:p w14:paraId="29C6C072" w14:textId="77777777" w:rsidR="00A7166B" w:rsidRPr="00A7166B" w:rsidRDefault="00A7166B" w:rsidP="00A7166B">
      <w:pPr>
        <w:suppressAutoHyphens w:val="0"/>
        <w:autoSpaceDE w:val="0"/>
        <w:autoSpaceDN w:val="0"/>
        <w:adjustRightInd w:val="0"/>
        <w:rPr>
          <w:rFonts w:ascii="Arial" w:hAnsi="Arial" w:cs="Arial"/>
          <w:color w:val="4B4D4F"/>
        </w:rPr>
      </w:pPr>
    </w:p>
    <w:p w14:paraId="549FFD87" w14:textId="112BFC83" w:rsidR="00194FF1" w:rsidRPr="00A7166B" w:rsidRDefault="00194FF1" w:rsidP="00A7166B">
      <w:pPr>
        <w:pStyle w:val="ListParagraph"/>
        <w:numPr>
          <w:ilvl w:val="0"/>
          <w:numId w:val="27"/>
        </w:numPr>
        <w:suppressAutoHyphens w:val="0"/>
        <w:autoSpaceDE w:val="0"/>
        <w:autoSpaceDN w:val="0"/>
        <w:adjustRightInd w:val="0"/>
        <w:ind w:left="360"/>
        <w:rPr>
          <w:rFonts w:ascii="Arial" w:hAnsi="Arial" w:cs="Arial"/>
          <w:color w:val="4B4D4F"/>
        </w:rPr>
      </w:pPr>
      <w:r w:rsidRPr="00A7166B">
        <w:rPr>
          <w:rFonts w:ascii="Arial" w:hAnsi="Arial" w:cs="Arial"/>
          <w:color w:val="4B4D4F"/>
        </w:rPr>
        <w:t>Include all Risk Factors</w:t>
      </w:r>
      <w:r w:rsidR="00C2518C">
        <w:rPr>
          <w:rFonts w:ascii="Arial" w:hAnsi="Arial" w:cs="Arial"/>
          <w:color w:val="4B4D4F"/>
        </w:rPr>
        <w:t>:</w:t>
      </w:r>
      <w:r w:rsidRPr="00A7166B">
        <w:rPr>
          <w:rFonts w:ascii="Arial" w:hAnsi="Arial" w:cs="Arial"/>
          <w:color w:val="4B4D4F"/>
        </w:rPr>
        <w:t xml:space="preserve"> </w:t>
      </w:r>
    </w:p>
    <w:p w14:paraId="18CE19E8" w14:textId="4ECDDFA0"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 xml:space="preserve">Include both historical and current risk factors documented in “Comments on Risk Factors” or “Dangerous Propensities” section of the form.  </w:t>
      </w:r>
    </w:p>
    <w:p w14:paraId="35C4A868" w14:textId="2B8DA607"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The risk factors noted should match the history and contents of the documentation in the packet.</w:t>
      </w:r>
    </w:p>
    <w:p w14:paraId="547D706D" w14:textId="1BF2493B"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The risk factors from the IMD/STP should match the Case Manager’s risk factor assessment or there is an explanation as to why not.</w:t>
      </w:r>
    </w:p>
    <w:p w14:paraId="6B4EECD9" w14:textId="6BC4B925"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The comment section regarding the risk factors should indicate if the risk factors have or have not been resolved, if resolved include how they were resolved and when the last incident occurred.</w:t>
      </w:r>
    </w:p>
    <w:p w14:paraId="4DE12636" w14:textId="0DAEC3D2"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Any risk factor that isn’t included in the check off section be included in the risk comment section, such as arson.</w:t>
      </w:r>
    </w:p>
    <w:p w14:paraId="5183B650" w14:textId="48953895" w:rsidR="00194FF1" w:rsidRPr="00A7166B" w:rsidRDefault="00194FF1" w:rsidP="00C2518C">
      <w:pPr>
        <w:pStyle w:val="ListParagraph"/>
        <w:numPr>
          <w:ilvl w:val="0"/>
          <w:numId w:val="28"/>
        </w:numPr>
        <w:suppressAutoHyphens w:val="0"/>
        <w:autoSpaceDE w:val="0"/>
        <w:autoSpaceDN w:val="0"/>
        <w:adjustRightInd w:val="0"/>
        <w:rPr>
          <w:rFonts w:ascii="Arial" w:hAnsi="Arial" w:cs="Arial"/>
          <w:color w:val="4B4D4F"/>
        </w:rPr>
      </w:pPr>
      <w:r w:rsidRPr="00A7166B">
        <w:rPr>
          <w:rFonts w:ascii="Arial" w:hAnsi="Arial" w:cs="Arial"/>
          <w:color w:val="4B4D4F"/>
        </w:rPr>
        <w:t>Provide details in all the comment sections.</w:t>
      </w:r>
    </w:p>
    <w:p w14:paraId="44F60CF4" w14:textId="77777777" w:rsidR="00194FF1" w:rsidRPr="00194FF1" w:rsidRDefault="00194FF1" w:rsidP="00A7166B">
      <w:pPr>
        <w:suppressAutoHyphens w:val="0"/>
        <w:autoSpaceDE w:val="0"/>
        <w:autoSpaceDN w:val="0"/>
        <w:adjustRightInd w:val="0"/>
        <w:rPr>
          <w:rFonts w:ascii="Arial" w:hAnsi="Arial" w:cs="Arial"/>
          <w:color w:val="4B4D4F"/>
        </w:rPr>
      </w:pPr>
    </w:p>
    <w:p w14:paraId="2E5BCA14" w14:textId="37ADC10B" w:rsidR="00194FF1" w:rsidRPr="00A7166B" w:rsidRDefault="00194FF1" w:rsidP="00A7166B">
      <w:pPr>
        <w:pStyle w:val="ListParagraph"/>
        <w:numPr>
          <w:ilvl w:val="0"/>
          <w:numId w:val="27"/>
        </w:numPr>
        <w:suppressAutoHyphens w:val="0"/>
        <w:autoSpaceDE w:val="0"/>
        <w:autoSpaceDN w:val="0"/>
        <w:adjustRightInd w:val="0"/>
        <w:ind w:left="360"/>
        <w:rPr>
          <w:rFonts w:ascii="Arial" w:hAnsi="Arial" w:cs="Arial"/>
          <w:color w:val="4B4D4F"/>
        </w:rPr>
      </w:pPr>
      <w:r w:rsidRPr="00A7166B">
        <w:rPr>
          <w:rFonts w:ascii="Arial" w:hAnsi="Arial" w:cs="Arial"/>
          <w:color w:val="4B4D4F"/>
        </w:rPr>
        <w:t xml:space="preserve">Reason for Referral to This Level of Care should support why the client needs this level of care. It should state what has been tried in the past and why it did not work. Each referral should be individualized so that the important or unique qualities of each client stand out.  </w:t>
      </w:r>
    </w:p>
    <w:p w14:paraId="12642827" w14:textId="1FD394BF" w:rsidR="00194FF1" w:rsidRPr="00A7166B" w:rsidRDefault="00194FF1" w:rsidP="000948F1">
      <w:pPr>
        <w:pStyle w:val="ListParagraph"/>
        <w:numPr>
          <w:ilvl w:val="0"/>
          <w:numId w:val="29"/>
        </w:numPr>
        <w:suppressAutoHyphens w:val="0"/>
        <w:autoSpaceDE w:val="0"/>
        <w:autoSpaceDN w:val="0"/>
        <w:adjustRightInd w:val="0"/>
        <w:rPr>
          <w:rFonts w:ascii="Arial" w:hAnsi="Arial" w:cs="Arial"/>
          <w:color w:val="4B4D4F"/>
        </w:rPr>
      </w:pPr>
      <w:r w:rsidRPr="00A7166B">
        <w:rPr>
          <w:rFonts w:ascii="Arial" w:hAnsi="Arial" w:cs="Arial"/>
          <w:color w:val="4B4D4F"/>
        </w:rPr>
        <w:t xml:space="preserve">The reason for referral should be detailed as to why the client is being referred to an ARF </w:t>
      </w:r>
      <w:r w:rsidR="00447AA1" w:rsidRPr="00A7166B">
        <w:rPr>
          <w:rFonts w:ascii="Arial" w:hAnsi="Arial" w:cs="Arial"/>
          <w:color w:val="4B4D4F"/>
        </w:rPr>
        <w:t>program,</w:t>
      </w:r>
      <w:r w:rsidRPr="00A7166B">
        <w:rPr>
          <w:rFonts w:ascii="Arial" w:hAnsi="Arial" w:cs="Arial"/>
          <w:color w:val="4B4D4F"/>
        </w:rPr>
        <w:t xml:space="preserve"> not just that they are ready. Include what have they worked on and why a standard Board &amp; Care Facility may not be sufficient for their needs.</w:t>
      </w:r>
    </w:p>
    <w:p w14:paraId="27650D34" w14:textId="77777777" w:rsidR="00194FF1" w:rsidRPr="00194FF1" w:rsidRDefault="00194FF1" w:rsidP="00A7166B">
      <w:pPr>
        <w:suppressAutoHyphens w:val="0"/>
        <w:autoSpaceDE w:val="0"/>
        <w:autoSpaceDN w:val="0"/>
        <w:adjustRightInd w:val="0"/>
        <w:rPr>
          <w:rFonts w:ascii="Arial" w:hAnsi="Arial" w:cs="Arial"/>
          <w:color w:val="4B4D4F"/>
        </w:rPr>
      </w:pPr>
    </w:p>
    <w:p w14:paraId="41743766" w14:textId="360D5E26" w:rsidR="00070464" w:rsidRDefault="00194FF1" w:rsidP="00A7166B">
      <w:pPr>
        <w:pStyle w:val="ListParagraph"/>
        <w:numPr>
          <w:ilvl w:val="0"/>
          <w:numId w:val="27"/>
        </w:numPr>
        <w:suppressAutoHyphens w:val="0"/>
        <w:autoSpaceDE w:val="0"/>
        <w:autoSpaceDN w:val="0"/>
        <w:adjustRightInd w:val="0"/>
        <w:ind w:left="360"/>
        <w:rPr>
          <w:rFonts w:ascii="Arial" w:hAnsi="Arial" w:cs="Arial"/>
          <w:color w:val="4B4D4F"/>
        </w:rPr>
      </w:pPr>
      <w:r w:rsidRPr="00A7166B">
        <w:rPr>
          <w:rFonts w:ascii="Arial" w:hAnsi="Arial" w:cs="Arial"/>
          <w:color w:val="4B4D4F"/>
        </w:rPr>
        <w:t xml:space="preserve">Comments on Current Treatment should give both an overview of the treatment the client is currently receiving, and the client’s response to treatment. Details should include current medications, if PRNs are required, if the client going to groups and participating. Note specific examples. For example, “Client continues to have delusions that yellow pills are poison” provides a more accurate picture of the client than “Client is delusional”. Comments such as “See chart” do not summarize the treatment and do not provide information that will assist an ARF in determining whether or not a client is appropriate for admission.  </w:t>
      </w:r>
    </w:p>
    <w:p w14:paraId="4A4D8C9B" w14:textId="77777777" w:rsidR="000948F1" w:rsidRPr="00A7166B" w:rsidRDefault="000948F1" w:rsidP="000948F1">
      <w:pPr>
        <w:pStyle w:val="ListParagraph"/>
        <w:suppressAutoHyphens w:val="0"/>
        <w:autoSpaceDE w:val="0"/>
        <w:autoSpaceDN w:val="0"/>
        <w:adjustRightInd w:val="0"/>
        <w:ind w:left="360"/>
        <w:rPr>
          <w:rFonts w:ascii="Arial" w:hAnsi="Arial" w:cs="Arial"/>
          <w:color w:val="4B4D4F"/>
        </w:rPr>
      </w:pPr>
    </w:p>
    <w:p w14:paraId="15E1CCAF" w14:textId="12762527" w:rsidR="00447AA1" w:rsidRDefault="00447AA1" w:rsidP="00194FF1">
      <w:pPr>
        <w:suppressAutoHyphens w:val="0"/>
        <w:autoSpaceDE w:val="0"/>
        <w:autoSpaceDN w:val="0"/>
        <w:adjustRightInd w:val="0"/>
        <w:rPr>
          <w:rFonts w:ascii="Arial" w:hAnsi="Arial" w:cs="Arial"/>
          <w:color w:val="4B4D4F"/>
        </w:rPr>
      </w:pPr>
    </w:p>
    <w:p w14:paraId="597C0FE6" w14:textId="116A4CB4" w:rsidR="00447AA1" w:rsidRDefault="00816EF3" w:rsidP="00194FF1">
      <w:pPr>
        <w:suppressAutoHyphens w:val="0"/>
        <w:autoSpaceDE w:val="0"/>
        <w:autoSpaceDN w:val="0"/>
        <w:adjustRightInd w:val="0"/>
        <w:rPr>
          <w:rFonts w:ascii="Arial" w:hAnsi="Arial" w:cs="Arial"/>
          <w:color w:val="4B4D4F"/>
        </w:rPr>
      </w:pPr>
      <w:r w:rsidRPr="00816EF3">
        <w:rPr>
          <w:rFonts w:ascii="Arial" w:hAnsi="Arial" w:cs="Arial"/>
          <w:color w:val="4B4D4F"/>
        </w:rPr>
        <w:t>Remember that this form is the</w:t>
      </w:r>
      <w:r w:rsidRPr="00816EF3">
        <w:rPr>
          <w:rFonts w:ascii="Arial" w:hAnsi="Arial" w:cs="Arial"/>
          <w:b/>
          <w:bCs/>
          <w:color w:val="4B4D4F"/>
        </w:rPr>
        <w:t xml:space="preserve"> first</w:t>
      </w:r>
      <w:r w:rsidRPr="00816EF3">
        <w:rPr>
          <w:rFonts w:ascii="Arial" w:hAnsi="Arial" w:cs="Arial"/>
          <w:color w:val="4B4D4F"/>
        </w:rPr>
        <w:t xml:space="preserve"> impression that the ARF has of the client who is being referred. The SF/LTC Referral Screening Form is a valuable place advocate that the client is appropriate for placement at the ARF level of care.</w:t>
      </w:r>
    </w:p>
    <w:p w14:paraId="71322D65" w14:textId="698E6669" w:rsidR="00126D0D" w:rsidRPr="00545FF4" w:rsidRDefault="00126D0D" w:rsidP="00EC32FE">
      <w:pPr>
        <w:suppressAutoHyphens w:val="0"/>
        <w:autoSpaceDE w:val="0"/>
        <w:autoSpaceDN w:val="0"/>
        <w:adjustRightInd w:val="0"/>
        <w:rPr>
          <w:color w:val="4B4D4F"/>
        </w:rPr>
      </w:pPr>
    </w:p>
    <w:sectPr w:rsidR="00126D0D" w:rsidRPr="00545FF4" w:rsidSect="00B42FFA">
      <w:headerReference w:type="default" r:id="rId11"/>
      <w:footerReference w:type="even" r:id="rId12"/>
      <w:footerReference w:type="default" r:id="rId13"/>
      <w:headerReference w:type="first" r:id="rId14"/>
      <w:footerReference w:type="first" r:id="rId15"/>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C2E0" w14:textId="77777777" w:rsidR="0027354F" w:rsidRDefault="0027354F" w:rsidP="00D37017">
      <w:r>
        <w:separator/>
      </w:r>
    </w:p>
  </w:endnote>
  <w:endnote w:type="continuationSeparator" w:id="0">
    <w:p w14:paraId="3F748633" w14:textId="77777777" w:rsidR="0027354F" w:rsidRDefault="0027354F"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7B8325A7" w:rsidR="00A3157E" w:rsidRPr="003C542E" w:rsidRDefault="003C542E">
    <w:pPr>
      <w:pStyle w:val="Footer"/>
      <w:rPr>
        <w:sz w:val="16"/>
        <w:szCs w:val="16"/>
      </w:rPr>
    </w:pPr>
    <w:r>
      <w:rPr>
        <w:sz w:val="16"/>
        <w:szCs w:val="16"/>
      </w:rPr>
      <w:t>Rev 3.6.23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A20" w14:textId="77777777" w:rsidR="00407C37" w:rsidRDefault="00407C37" w:rsidP="00407C37">
    <w:pPr>
      <w:pStyle w:val="Footer"/>
      <w:jc w:val="center"/>
      <w:rPr>
        <w:sz w:val="16"/>
        <w:szCs w:val="16"/>
      </w:rPr>
    </w:pPr>
    <w:r>
      <w:rPr>
        <w:sz w:val="16"/>
        <w:szCs w:val="16"/>
      </w:rPr>
      <w:t>County of San Diego Behavioral Health Plan</w:t>
    </w:r>
  </w:p>
  <w:p w14:paraId="69D96519" w14:textId="3B2DDC47" w:rsidR="00BA44D2" w:rsidRPr="00407C37" w:rsidRDefault="00407C37" w:rsidP="00407C37">
    <w:pPr>
      <w:pStyle w:val="Footer"/>
    </w:pPr>
    <w:r>
      <w:rPr>
        <w:sz w:val="16"/>
        <w:szCs w:val="16"/>
      </w:rPr>
      <w:t>Rev 12.8.22</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4C1B4384" w:rsidR="00FB7EE8" w:rsidRPr="003C542E" w:rsidRDefault="003C542E" w:rsidP="003C542E">
    <w:pPr>
      <w:pStyle w:val="Footer"/>
      <w:rPr>
        <w:sz w:val="16"/>
        <w:szCs w:val="16"/>
      </w:rPr>
    </w:pPr>
    <w:r>
      <w:rPr>
        <w:sz w:val="16"/>
        <w:szCs w:val="16"/>
      </w:rPr>
      <w:t xml:space="preserve">Rev </w:t>
    </w:r>
    <w:r w:rsidR="005E6276">
      <w:rPr>
        <w:sz w:val="16"/>
        <w:szCs w:val="16"/>
      </w:rPr>
      <w:t>5.5</w:t>
    </w:r>
    <w:r>
      <w:rPr>
        <w:sz w:val="16"/>
        <w:szCs w:val="16"/>
      </w:rPr>
      <w:t>.23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1 of </w:t>
    </w:r>
    <w:r w:rsidR="007D793A">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8CAA" w14:textId="77777777" w:rsidR="0027354F" w:rsidRDefault="0027354F" w:rsidP="00D37017">
      <w:r>
        <w:separator/>
      </w:r>
    </w:p>
  </w:footnote>
  <w:footnote w:type="continuationSeparator" w:id="0">
    <w:p w14:paraId="4C84F159" w14:textId="77777777" w:rsidR="0027354F" w:rsidRDefault="0027354F"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69677991" w:rsidR="00633D60" w:rsidRDefault="00633D60" w:rsidP="00633D60">
    <w:pPr>
      <w:pStyle w:val="Header"/>
    </w:pPr>
    <w:r>
      <w:rPr>
        <w:noProof/>
        <w:color w:val="auto"/>
      </w:rPr>
      <w:drawing>
        <wp:inline distT="0" distB="0" distL="0" distR="0" wp14:anchorId="24D11344" wp14:editId="4180130C">
          <wp:extent cx="1571625" cy="457200"/>
          <wp:effectExtent l="0" t="0" r="9525" b="0"/>
          <wp:docPr id="5" name="Graphic 5" descr="Optum logo."/>
          <wp:cNvGraphicFramePr/>
          <a:graphic xmlns:a="http://schemas.openxmlformats.org/drawingml/2006/main">
            <a:graphicData uri="http://schemas.openxmlformats.org/drawingml/2006/picture">
              <pic:pic xmlns:pic="http://schemas.openxmlformats.org/drawingml/2006/picture">
                <pic:nvPicPr>
                  <pic:cNvPr id="2" name="Graphic 2" descr="Optum logo."/>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1625"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FB3E1E">
      <w:trPr>
        <w:trHeight w:val="99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3F130F0"/>
    <w:multiLevelType w:val="hybridMultilevel"/>
    <w:tmpl w:val="4212401A"/>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1B0A0E"/>
    <w:multiLevelType w:val="hybridMultilevel"/>
    <w:tmpl w:val="DB20ED1E"/>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4"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7E2A56"/>
    <w:multiLevelType w:val="hybridMultilevel"/>
    <w:tmpl w:val="C7C8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41936"/>
    <w:multiLevelType w:val="hybridMultilevel"/>
    <w:tmpl w:val="D4F2CB28"/>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9391716">
    <w:abstractNumId w:val="2"/>
  </w:num>
  <w:num w:numId="2" w16cid:durableId="1415469591">
    <w:abstractNumId w:val="8"/>
  </w:num>
  <w:num w:numId="3" w16cid:durableId="147944279">
    <w:abstractNumId w:val="17"/>
  </w:num>
  <w:num w:numId="4" w16cid:durableId="570969760">
    <w:abstractNumId w:val="11"/>
  </w:num>
  <w:num w:numId="5" w16cid:durableId="758910848">
    <w:abstractNumId w:val="24"/>
  </w:num>
  <w:num w:numId="6" w16cid:durableId="2049183905">
    <w:abstractNumId w:val="22"/>
  </w:num>
  <w:num w:numId="7" w16cid:durableId="259484785">
    <w:abstractNumId w:val="9"/>
  </w:num>
  <w:num w:numId="8" w16cid:durableId="2021657697">
    <w:abstractNumId w:val="19"/>
  </w:num>
  <w:num w:numId="9" w16cid:durableId="1287733559">
    <w:abstractNumId w:val="23"/>
  </w:num>
  <w:num w:numId="10" w16cid:durableId="1165366505">
    <w:abstractNumId w:val="1"/>
  </w:num>
  <w:num w:numId="11" w16cid:durableId="237905304">
    <w:abstractNumId w:val="0"/>
  </w:num>
  <w:num w:numId="12" w16cid:durableId="396317713">
    <w:abstractNumId w:val="5"/>
  </w:num>
  <w:num w:numId="13" w16cid:durableId="119568391">
    <w:abstractNumId w:val="18"/>
  </w:num>
  <w:num w:numId="14" w16cid:durableId="1153328457">
    <w:abstractNumId w:val="6"/>
  </w:num>
  <w:num w:numId="15" w16cid:durableId="1764839354">
    <w:abstractNumId w:val="7"/>
  </w:num>
  <w:num w:numId="16" w16cid:durableId="2027290786">
    <w:abstractNumId w:val="15"/>
  </w:num>
  <w:num w:numId="17" w16cid:durableId="637955816">
    <w:abstractNumId w:val="4"/>
  </w:num>
  <w:num w:numId="18" w16cid:durableId="418646272">
    <w:abstractNumId w:val="27"/>
  </w:num>
  <w:num w:numId="19" w16cid:durableId="1156267524">
    <w:abstractNumId w:val="21"/>
  </w:num>
  <w:num w:numId="20" w16cid:durableId="884564829">
    <w:abstractNumId w:val="10"/>
  </w:num>
  <w:num w:numId="21" w16cid:durableId="209072666">
    <w:abstractNumId w:val="14"/>
  </w:num>
  <w:num w:numId="22" w16cid:durableId="1470635068">
    <w:abstractNumId w:val="16"/>
  </w:num>
  <w:num w:numId="23" w16cid:durableId="7368473">
    <w:abstractNumId w:val="20"/>
  </w:num>
  <w:num w:numId="24" w16cid:durableId="1246257684">
    <w:abstractNumId w:val="26"/>
  </w:num>
  <w:num w:numId="25" w16cid:durableId="1106072277">
    <w:abstractNumId w:val="3"/>
  </w:num>
  <w:num w:numId="26" w16cid:durableId="2049142337">
    <w:abstractNumId w:val="28"/>
  </w:num>
  <w:num w:numId="27" w16cid:durableId="1036348239">
    <w:abstractNumId w:val="25"/>
  </w:num>
  <w:num w:numId="28" w16cid:durableId="640579589">
    <w:abstractNumId w:val="12"/>
  </w:num>
  <w:num w:numId="29" w16cid:durableId="1819611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249FD"/>
    <w:rsid w:val="00030377"/>
    <w:rsid w:val="000357F8"/>
    <w:rsid w:val="000542B8"/>
    <w:rsid w:val="00070464"/>
    <w:rsid w:val="000948F1"/>
    <w:rsid w:val="000D394F"/>
    <w:rsid w:val="000E3829"/>
    <w:rsid w:val="00114793"/>
    <w:rsid w:val="001174AE"/>
    <w:rsid w:val="00126D0D"/>
    <w:rsid w:val="0014347F"/>
    <w:rsid w:val="00151861"/>
    <w:rsid w:val="00154AEB"/>
    <w:rsid w:val="00194FF1"/>
    <w:rsid w:val="001B2CD5"/>
    <w:rsid w:val="001D6657"/>
    <w:rsid w:val="00200EC1"/>
    <w:rsid w:val="002154C1"/>
    <w:rsid w:val="00223B76"/>
    <w:rsid w:val="00236358"/>
    <w:rsid w:val="0027354F"/>
    <w:rsid w:val="0028564F"/>
    <w:rsid w:val="002A7275"/>
    <w:rsid w:val="002C3714"/>
    <w:rsid w:val="002E02A1"/>
    <w:rsid w:val="00346804"/>
    <w:rsid w:val="00350659"/>
    <w:rsid w:val="00355EEE"/>
    <w:rsid w:val="003A757A"/>
    <w:rsid w:val="003C542E"/>
    <w:rsid w:val="003D1B86"/>
    <w:rsid w:val="003F5766"/>
    <w:rsid w:val="00407C37"/>
    <w:rsid w:val="004303CC"/>
    <w:rsid w:val="00447AA1"/>
    <w:rsid w:val="00455E09"/>
    <w:rsid w:val="0047390F"/>
    <w:rsid w:val="004D3D04"/>
    <w:rsid w:val="00532904"/>
    <w:rsid w:val="00545FF4"/>
    <w:rsid w:val="005A1CEF"/>
    <w:rsid w:val="005E05F8"/>
    <w:rsid w:val="005E531B"/>
    <w:rsid w:val="005E6276"/>
    <w:rsid w:val="00610A2E"/>
    <w:rsid w:val="006169B7"/>
    <w:rsid w:val="00627C72"/>
    <w:rsid w:val="00633D60"/>
    <w:rsid w:val="00674D51"/>
    <w:rsid w:val="00677175"/>
    <w:rsid w:val="00681EA4"/>
    <w:rsid w:val="006A5CA3"/>
    <w:rsid w:val="006B3262"/>
    <w:rsid w:val="006C3BFE"/>
    <w:rsid w:val="00717267"/>
    <w:rsid w:val="00732916"/>
    <w:rsid w:val="00762B11"/>
    <w:rsid w:val="00767615"/>
    <w:rsid w:val="007D793A"/>
    <w:rsid w:val="008054D3"/>
    <w:rsid w:val="00816EF3"/>
    <w:rsid w:val="00844DFB"/>
    <w:rsid w:val="008755FF"/>
    <w:rsid w:val="0088179C"/>
    <w:rsid w:val="008852E5"/>
    <w:rsid w:val="008966E1"/>
    <w:rsid w:val="008A26FC"/>
    <w:rsid w:val="008A55C3"/>
    <w:rsid w:val="008B0E2D"/>
    <w:rsid w:val="00920245"/>
    <w:rsid w:val="00943014"/>
    <w:rsid w:val="00961E42"/>
    <w:rsid w:val="009771FC"/>
    <w:rsid w:val="00990813"/>
    <w:rsid w:val="009B5BB6"/>
    <w:rsid w:val="009D1637"/>
    <w:rsid w:val="009F55C5"/>
    <w:rsid w:val="00A1196E"/>
    <w:rsid w:val="00A3157E"/>
    <w:rsid w:val="00A3509D"/>
    <w:rsid w:val="00A540D3"/>
    <w:rsid w:val="00A636BA"/>
    <w:rsid w:val="00A65E7E"/>
    <w:rsid w:val="00A7166B"/>
    <w:rsid w:val="00AA7061"/>
    <w:rsid w:val="00AC34A3"/>
    <w:rsid w:val="00AE6D18"/>
    <w:rsid w:val="00AF1BFF"/>
    <w:rsid w:val="00B056D0"/>
    <w:rsid w:val="00B16ACE"/>
    <w:rsid w:val="00B42FFA"/>
    <w:rsid w:val="00B83647"/>
    <w:rsid w:val="00BA44D2"/>
    <w:rsid w:val="00BE64C0"/>
    <w:rsid w:val="00C2518C"/>
    <w:rsid w:val="00C3535A"/>
    <w:rsid w:val="00C417CA"/>
    <w:rsid w:val="00C4269C"/>
    <w:rsid w:val="00C63D48"/>
    <w:rsid w:val="00C762A0"/>
    <w:rsid w:val="00C97C1C"/>
    <w:rsid w:val="00CA77F6"/>
    <w:rsid w:val="00CE6B76"/>
    <w:rsid w:val="00D34C83"/>
    <w:rsid w:val="00D37017"/>
    <w:rsid w:val="00D42475"/>
    <w:rsid w:val="00D459A3"/>
    <w:rsid w:val="00D524E6"/>
    <w:rsid w:val="00DB1658"/>
    <w:rsid w:val="00DC480A"/>
    <w:rsid w:val="00DE16C6"/>
    <w:rsid w:val="00DF01CD"/>
    <w:rsid w:val="00E3791A"/>
    <w:rsid w:val="00E400F3"/>
    <w:rsid w:val="00E678AE"/>
    <w:rsid w:val="00E7732D"/>
    <w:rsid w:val="00EA7CC4"/>
    <w:rsid w:val="00EC006E"/>
    <w:rsid w:val="00EC21EB"/>
    <w:rsid w:val="00EC32FE"/>
    <w:rsid w:val="00EE6D72"/>
    <w:rsid w:val="00F15775"/>
    <w:rsid w:val="00F85608"/>
    <w:rsid w:val="00FB3900"/>
    <w:rsid w:val="00FB3E1E"/>
    <w:rsid w:val="00FB7EE8"/>
    <w:rsid w:val="00FD5F9F"/>
    <w:rsid w:val="00FD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4668C9"/>
    <w:rsid w:val="004C4C69"/>
    <w:rsid w:val="005A2EA3"/>
    <w:rsid w:val="00652706"/>
    <w:rsid w:val="0089075E"/>
    <w:rsid w:val="00A747C0"/>
    <w:rsid w:val="00AD3D3F"/>
    <w:rsid w:val="00B278FD"/>
    <w:rsid w:val="00B925F2"/>
    <w:rsid w:val="00C21470"/>
    <w:rsid w:val="00D06576"/>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29F92-4F9C-422E-95E6-92C6074DBCF2}">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customXml/itemProps2.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3.xml><?xml version="1.0" encoding="utf-8"?>
<ds:datastoreItem xmlns:ds="http://schemas.openxmlformats.org/officeDocument/2006/customXml" ds:itemID="{77880F7A-CAA6-4ABB-BA20-44117BA6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2EA91-D856-4251-AF36-48C664A8E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optum-letterhead-20220111</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3</cp:revision>
  <dcterms:created xsi:type="dcterms:W3CDTF">2023-04-29T22:54:00Z</dcterms:created>
  <dcterms:modified xsi:type="dcterms:W3CDTF">2023-05-05T19:39:00Z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0" name="MediaServiceImageTags">
    <vt:lpwstr/>
  </property>
</Properties>
</file>